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05D3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附件1：</w:t>
      </w:r>
      <w:bookmarkStart w:id="0" w:name="_GoBack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兔肉深加工产品标准及合作单位要求</w:t>
      </w:r>
      <w:bookmarkEnd w:id="0"/>
    </w:p>
    <w:p w14:paraId="27D57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0808CF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兔肉深加工产品标准及合作单位要求</w:t>
      </w:r>
    </w:p>
    <w:p w14:paraId="21D30ED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rPr>
          <w:rFonts w:hint="eastAsia"/>
          <w:lang w:val="en-US" w:eastAsia="zh-CN"/>
        </w:rPr>
      </w:pPr>
    </w:p>
    <w:p w14:paraId="25A8B1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eastAsia" w:ascii="方正黑体" w:hAnsi="方正黑体" w:eastAsia="方正黑体" w:cs="方正黑体"/>
          <w:sz w:val="32"/>
          <w:szCs w:val="32"/>
          <w:lang w:val="en-US" w:eastAsia="zh-CN"/>
        </w:rPr>
      </w:pPr>
      <w:r>
        <w:rPr>
          <w:rFonts w:hint="eastAsia" w:ascii="方正黑体" w:hAnsi="方正黑体" w:eastAsia="方正黑体" w:cs="方正黑体"/>
          <w:sz w:val="32"/>
          <w:szCs w:val="32"/>
          <w:lang w:val="en-US" w:eastAsia="zh-CN"/>
        </w:rPr>
        <w:t>一、产品规格及要求</w:t>
      </w:r>
    </w:p>
    <w:p w14:paraId="2F7DA1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（一）产品规格</w:t>
      </w:r>
    </w:p>
    <w:tbl>
      <w:tblPr>
        <w:tblStyle w:val="3"/>
        <w:tblW w:w="8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636"/>
        <w:gridCol w:w="2243"/>
        <w:gridCol w:w="3378"/>
      </w:tblGrid>
      <w:tr w14:paraId="26BBE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F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品类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0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味型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2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F83D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4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手撕兔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1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D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800g/袋（1只）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原料使用冷鲜兔，兔肉净含量不低于500g，产品抽真空</w:t>
            </w:r>
          </w:p>
        </w:tc>
      </w:tr>
      <w:tr w14:paraId="49A85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3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1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麻辣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D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800g/袋（1只）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B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原料使用冷鲜兔，兔肉净含量不低于500g，产品抽真空</w:t>
            </w:r>
          </w:p>
        </w:tc>
      </w:tr>
      <w:tr w14:paraId="68B3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6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兔头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8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5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160g/袋（2个）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E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单个80g，固形物大于等于60%，产品抽真空</w:t>
            </w:r>
          </w:p>
        </w:tc>
      </w:tr>
      <w:tr w14:paraId="3063C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B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2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麻辣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2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160g/袋（2个）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单个80g，固形物大于等于60%，产品抽真空</w:t>
            </w:r>
          </w:p>
        </w:tc>
      </w:tr>
      <w:tr w14:paraId="65ED8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1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兔腿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7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140g/袋（2只）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C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前腿，固形物大于等于60%，产品抽真空</w:t>
            </w:r>
          </w:p>
        </w:tc>
      </w:tr>
      <w:tr w14:paraId="5E839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C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A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麻辣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8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140g/袋（2只）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前腿，固形物大于等于60%，产品抽真空</w:t>
            </w:r>
          </w:p>
        </w:tc>
      </w:tr>
      <w:tr w14:paraId="467F7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5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冷吃兔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E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麻辣</w:t>
            </w:r>
          </w:p>
        </w:tc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3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200g/袋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7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原料使用冷鲜兔，兔肉含量大于等于60%，产品抽真空</w:t>
            </w:r>
          </w:p>
        </w:tc>
      </w:tr>
    </w:tbl>
    <w:p w14:paraId="6C0BB7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注：原材料、辅料、产品真空袋由合作方提供，并开具合格增值税发票（税率13%），外包装由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我司提供。</w:t>
      </w:r>
    </w:p>
    <w:p w14:paraId="1270B5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（二）产品要求</w:t>
      </w:r>
    </w:p>
    <w:p w14:paraId="16853D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1.兔肉原料：需附有产地动物卫生监督机构出具的动物检疫合格证明，原料符合《鲜、冻兔肉及副产品》（GB/T 17239-2022）标准要求；鲜兔肉需在0℃~4℃环境下贮存运输，冻兔肉需在-18℃以下贮存、-15℃以下运输，避免反复冻融；原料无腐败、异味、变质，无肉眼可见杂质，肌肉色泽正常、有弹性，每批次原料需提供动物检疫合格证明。</w:t>
      </w:r>
    </w:p>
    <w:p w14:paraId="4AEEA3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2.调味料及辅料：选用符合国家食品安全标准的调味料（辣椒、花椒、盐、酱油等）、食品添加剂（防腐剂、增香剂等），食品添加剂的使用需符合《食品安全国家标准食品添加剂使用标准》（GB 2760-2024），严禁使用违禁添加剂；辅料需有完整的产品合格证明，且在保质期内。</w:t>
      </w:r>
    </w:p>
    <w:p w14:paraId="7DCCE1B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3.包装材料：选用食品级包装材料（真空包装袋、礼盒、标签等），符合《食品安全国家标准 预包装食品标签通则》（GB 7718-2025）、《食品安全国家标准食品接触用复合材料及制品》（GB 4806.13-2023）要求，无异味、无破损、无污染。</w:t>
      </w:r>
    </w:p>
    <w:p w14:paraId="69A692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4.产品质量标准：符合《食品安全国家标准 熟肉制品》（GB 2726-2016）国家标准，每批次产品出厂前提供产品合格证、出厂检验报告。</w:t>
      </w:r>
    </w:p>
    <w:p w14:paraId="54246F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方正黑体" w:hAnsi="方正黑体" w:eastAsia="方正黑体" w:cs="方正黑体"/>
          <w:sz w:val="32"/>
          <w:szCs w:val="32"/>
          <w:lang w:val="en-US" w:eastAsia="zh-CN"/>
        </w:rPr>
      </w:pPr>
      <w:r>
        <w:rPr>
          <w:rFonts w:hint="default" w:ascii="方正黑体" w:hAnsi="方正黑体" w:eastAsia="方正黑体" w:cs="方正黑体"/>
          <w:sz w:val="32"/>
          <w:szCs w:val="32"/>
          <w:lang w:val="en-US" w:eastAsia="zh-CN"/>
        </w:rPr>
        <w:t>二、合作单位要求</w:t>
      </w:r>
    </w:p>
    <w:p w14:paraId="13AC67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（一）厂区及生产卫生条件场地要求</w:t>
      </w:r>
    </w:p>
    <w:p w14:paraId="6CFB0A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1.厂区整体环境</w:t>
      </w:r>
    </w:p>
    <w:p w14:paraId="6A81AF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厂区独立封闭管理；厂区地面硬化、无积水、无杂草、无裸露垃圾；生产区、生活区、仓储区、污水处理区严格分区隔离，标识清晰；厂区排水系统通畅，污水、废弃物分类处置，无异味、无蚊虫滋生。</w:t>
      </w:r>
    </w:p>
    <w:p w14:paraId="7F89FA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2.生产车间卫生</w:t>
      </w:r>
    </w:p>
    <w:p w14:paraId="5C632E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车间实行分区作业，原料解冻区、分割区、深加工区、熟制区、包装区、成品区分区清晰，生熟工序完全分离；车间墙面、地面、台面采用防水、防腐、易清洗食品级材质，无破损、无污渍、无霉斑；车间通风、降温、除尘设备完好运行，空气流通，无闷热异味；车间配备专用洗手、消毒设施，且正常投入使用。</w:t>
      </w:r>
    </w:p>
    <w:p w14:paraId="4A3236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3.从业人员卫生</w:t>
      </w:r>
    </w:p>
    <w:p w14:paraId="0BE723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所有一线生产、包装人员持有效健康证上岗，无证人员不得从事食品作业；作业期间全程穿戴统一工作服、工作帽、口罩、手套；人员上岗前洗手消毒流程规范，无违规操作；定期开展员工食品安全卫生培训，留存培训记录。</w:t>
      </w:r>
    </w:p>
    <w:p w14:paraId="744E279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4.设备器具卫生</w:t>
      </w:r>
    </w:p>
    <w:p w14:paraId="4D3984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合格标准：所有生产设备、刀具、砧板、容器均为食品级不锈钢材质，定期清洗、消杀、保养，无锈蚀、无残留、无油污。</w:t>
      </w:r>
    </w:p>
    <w:p w14:paraId="62068C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楷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简体" w:cs="Times New Roman"/>
          <w:sz w:val="32"/>
          <w:szCs w:val="32"/>
          <w:lang w:val="en-US" w:eastAsia="zh-CN"/>
        </w:rPr>
        <w:t>（二）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生产规模与产能实力要求</w:t>
      </w:r>
    </w:p>
    <w:p w14:paraId="580979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1.生产场地</w:t>
      </w:r>
    </w:p>
    <w:p w14:paraId="57BA18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合格标准：专用兔肉深加工生产车间作业区域充足，无场地混用、挤占作业情况；具备独立的原料预处理车间、深加工车间、包装车间、成品暂存车间，场地布局符合肉类加工工艺流程，无流程交叉、倒流问题。</w:t>
      </w:r>
    </w:p>
    <w:p w14:paraId="4CEE5D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2.生产线配置</w:t>
      </w:r>
    </w:p>
    <w:p w14:paraId="32CF2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配备完整的兔肉深加工自动化/半自动化生产线，包含原料清洗、分割、腌制、熟制、杀菌、包装、抽真空全流程设备；熟食制品必须配备专业高温杀菌设备、真空包装设备；设备完好率100%，无闲置报废设备占用作业区域情况。</w:t>
      </w:r>
    </w:p>
    <w:p w14:paraId="335550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3.产能指标</w:t>
      </w:r>
    </w:p>
    <w:p w14:paraId="2B31DB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基础合格标准：兔肉深加工成品日产能单品不低于1000件；可根据订单需求灵活调整产能，具备旺季扩产能力；提供近1个月生产报表、出库台账、产能数据，数据真实可追溯，无产能虚标情况。</w:t>
      </w:r>
    </w:p>
    <w:p w14:paraId="3D2FA8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4.人员配置</w:t>
      </w:r>
    </w:p>
    <w:p w14:paraId="11DCFE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合格标准：固定一线生产人员不少于10人。</w:t>
      </w:r>
    </w:p>
    <w:p w14:paraId="3863BD96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仓储冷链与库存保障要求</w:t>
      </w:r>
    </w:p>
    <w:p w14:paraId="16DD51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合格标准：配备专用低温冷库、成品仓库，分区存放原料、半成品、成品，杜绝混放交叉污染；冷库温控系统正常运行，实时温度可查询，温度稳定达标。</w:t>
      </w:r>
    </w:p>
    <w:p w14:paraId="76ABDDE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sz w:val="32"/>
          <w:szCs w:val="32"/>
          <w:lang w:val="en-US" w:eastAsia="zh-CN"/>
        </w:rPr>
        <w:t>配送要求</w:t>
      </w:r>
    </w:p>
    <w:p w14:paraId="0221D6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4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能够提供集中配送至指定位置和全国一件代发服务。</w:t>
      </w:r>
    </w:p>
    <w:p w14:paraId="00EB1C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B8E43A5-5ABD-4E39-A675-19930A609CA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436758A-FF0A-4C81-ABD5-E6B7A3B6C5F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C775DE-5773-40A5-BD66-96DDB380AC86}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C2CADD3A-88DE-4C2B-BD06-CD560EAD6CBB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658F977-C3A9-436E-8068-3EE455E9D452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BEDF4CFA-9900-40EE-8B35-3896AA72439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7A4C0E"/>
    <w:multiLevelType w:val="singleLevel"/>
    <w:tmpl w:val="6C7A4C0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E0E97"/>
    <w:rsid w:val="516E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2026-06-15T06:11:00Z</dcterms:created>
  <dc:creator>坤儿</dc:creator>
  <cp:lastModifiedBy>坤儿</cp:lastModifiedBy>
  <dcterms:modified xsi:type="dcterms:W3CDTF">2026-06-15T06:11:59Z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E3ED58CD6F6E452CA44D784758E053A7_11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